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8"/>
        <w:gridCol w:w="5392"/>
      </w:tblGrid>
      <w:tr w:rsidR="009F3D70" w:rsidRPr="009F3D70" w:rsidTr="009F3D70">
        <w:trPr>
          <w:jc w:val="center"/>
        </w:trPr>
        <w:tc>
          <w:tcPr>
            <w:tcW w:w="3428" w:type="dxa"/>
          </w:tcPr>
          <w:p w:rsidR="009F3D70" w:rsidRPr="009F3D70" w:rsidRDefault="00021CE1" w:rsidP="009F3D70">
            <w:pPr>
              <w:suppressLineNumbers/>
              <w:rPr>
                <w:rFonts w:ascii="David" w:hAnsi="David" w:cs="David"/>
                <w:b/>
                <w:bCs/>
                <w:sz w:val="26"/>
                <w:szCs w:val="26"/>
                <w:rtl/>
              </w:rPr>
            </w:pPr>
            <w:sdt>
              <w:sdtPr>
                <w:rPr>
                  <w:rFonts w:ascii="David" w:hAnsi="David" w:cs="David"/>
                  <w:sz w:val="26"/>
                  <w:szCs w:val="26"/>
                  <w:rtl/>
                </w:rPr>
                <w:alias w:val="1180"/>
                <w:tag w:val="1180"/>
                <w:id w:val="637458750"/>
                <w:showingPlcHdr/>
                <w:text w:multiLine="1"/>
              </w:sdtPr>
              <w:sdtEndPr/>
              <w:sdtContent>
                <w:r w:rsidR="009F3D70" w:rsidRPr="009F3D70">
                  <w:rPr>
                    <w:rFonts w:ascii="David" w:hAnsi="David" w:cs="David"/>
                    <w:sz w:val="26"/>
                    <w:szCs w:val="26"/>
                    <w:rtl/>
                  </w:rPr>
                  <w:t xml:space="preserve">     </w:t>
                </w:r>
              </w:sdtContent>
            </w:sdt>
            <w:r w:rsidR="009F3D70" w:rsidRPr="009F3D70">
              <w:rPr>
                <w:rFonts w:ascii="David" w:hAnsi="David" w:cs="David" w:hint="cs"/>
                <w:b/>
                <w:bCs/>
                <w:sz w:val="26"/>
                <w:szCs w:val="26"/>
                <w:u w:val="single"/>
                <w:rtl/>
              </w:rPr>
              <w:t>בית המשפט המחוזי בחיפה</w:t>
            </w:r>
          </w:p>
        </w:tc>
        <w:tc>
          <w:tcPr>
            <w:tcW w:w="5392" w:type="dxa"/>
          </w:tcPr>
          <w:p w:rsidR="009F3D70" w:rsidRPr="009F3D70" w:rsidRDefault="009F3D70" w:rsidP="009F3D70">
            <w:pPr>
              <w:suppressLineNumbers/>
              <w:rPr>
                <w:rFonts w:ascii="David" w:hAnsi="David" w:cs="David"/>
                <w:b/>
                <w:bCs/>
                <w:sz w:val="26"/>
                <w:szCs w:val="26"/>
                <w:rtl/>
              </w:rPr>
            </w:pPr>
            <w:r w:rsidRPr="009F3D70">
              <w:rPr>
                <w:rFonts w:ascii="David" w:hAnsi="David" w:cs="David" w:hint="cs"/>
                <w:b/>
                <w:bCs/>
                <w:sz w:val="26"/>
                <w:szCs w:val="26"/>
                <w:rtl/>
              </w:rPr>
              <w:t xml:space="preserve"> </w:t>
            </w:r>
            <w:r w:rsidRPr="009F3D70">
              <w:rPr>
                <w:rFonts w:ascii="David" w:hAnsi="David" w:cs="David" w:hint="cs"/>
                <w:b/>
                <w:bCs/>
                <w:sz w:val="26"/>
                <w:szCs w:val="26"/>
                <w:u w:val="single"/>
                <w:rtl/>
              </w:rPr>
              <w:t>בפני כבוד השופט ד"ר זאיד פלאח</w:t>
            </w:r>
            <w:r w:rsidRPr="009F3D70">
              <w:rPr>
                <w:rFonts w:ascii="David" w:hAnsi="David" w:cs="David" w:hint="cs"/>
                <w:b/>
                <w:bCs/>
                <w:sz w:val="26"/>
                <w:szCs w:val="26"/>
                <w:rtl/>
              </w:rPr>
              <w:t xml:space="preserve">         </w:t>
            </w:r>
            <w:r w:rsidRPr="009F3D70">
              <w:rPr>
                <w:rFonts w:ascii="David" w:hAnsi="David" w:cs="David" w:hint="cs"/>
                <w:b/>
                <w:bCs/>
                <w:sz w:val="26"/>
                <w:szCs w:val="26"/>
                <w:u w:val="single"/>
                <w:rtl/>
              </w:rPr>
              <w:t>26/12/24</w:t>
            </w:r>
          </w:p>
          <w:p w:rsidR="009F3D70" w:rsidRPr="009F3D70" w:rsidRDefault="009F3D70" w:rsidP="00AC79DD">
            <w:pPr>
              <w:suppressLineNumbers/>
              <w:rPr>
                <w:rFonts w:ascii="David" w:hAnsi="David" w:cs="David"/>
                <w:b/>
                <w:bCs/>
                <w:sz w:val="24"/>
                <w:szCs w:val="24"/>
                <w:rtl/>
              </w:rPr>
            </w:pPr>
          </w:p>
          <w:p w:rsidR="009F3D70" w:rsidRPr="009F3D70" w:rsidRDefault="00021CE1" w:rsidP="00AC79DD">
            <w:pPr>
              <w:suppressLineNumbers/>
              <w:rPr>
                <w:rFonts w:ascii="David" w:hAnsi="David" w:cs="David"/>
                <w:b/>
                <w:bCs/>
                <w:sz w:val="24"/>
                <w:szCs w:val="24"/>
              </w:rPr>
            </w:pPr>
            <w:sdt>
              <w:sdtPr>
                <w:rPr>
                  <w:rFonts w:ascii="David" w:hAnsi="David" w:cs="David"/>
                  <w:b/>
                  <w:bCs/>
                  <w:sz w:val="24"/>
                  <w:szCs w:val="24"/>
                  <w:rtl/>
                </w:rPr>
                <w:alias w:val="3151"/>
                <w:tag w:val="3151"/>
                <w:id w:val="1398553265"/>
                <w:placeholder>
                  <w:docPart w:val="F19E7262095548ED8ED858B904FD6BBF"/>
                </w:placeholder>
                <w:text w:multiLine="1"/>
              </w:sdtPr>
              <w:sdtEndPr/>
              <w:sdtContent>
                <w:r w:rsidR="009F3D70" w:rsidRPr="009F3D70">
                  <w:rPr>
                    <w:rFonts w:ascii="David" w:hAnsi="David" w:cs="David"/>
                    <w:b/>
                    <w:bCs/>
                    <w:sz w:val="24"/>
                    <w:szCs w:val="24"/>
                    <w:rtl/>
                  </w:rPr>
                  <w:t>מדינת ישראל</w:t>
                </w:r>
                <w:r w:rsidR="009F3D70" w:rsidRPr="009F3D70">
                  <w:rPr>
                    <w:rFonts w:ascii="David" w:hAnsi="David" w:cs="David"/>
                    <w:b/>
                    <w:bCs/>
                    <w:sz w:val="24"/>
                    <w:szCs w:val="24"/>
                    <w:rtl/>
                  </w:rPr>
                  <w:br/>
                  <w:t>באמצעות פרקליטות מחוז חיפה - פלילי</w:t>
                </w:r>
              </w:sdtContent>
            </w:sdt>
            <w:r w:rsidR="009F3D70" w:rsidRPr="009F3D70">
              <w:rPr>
                <w:rFonts w:ascii="David" w:hAnsi="David" w:cs="David"/>
                <w:sz w:val="24"/>
                <w:szCs w:val="24"/>
                <w:rtl/>
              </w:rPr>
              <w:t xml:space="preserve"> </w:t>
            </w:r>
          </w:p>
        </w:tc>
      </w:tr>
      <w:tr w:rsidR="009F3D70" w:rsidRPr="009F3D70" w:rsidTr="00AC79DD">
        <w:trPr>
          <w:jc w:val="center"/>
        </w:trPr>
        <w:tc>
          <w:tcPr>
            <w:tcW w:w="8820" w:type="dxa"/>
            <w:gridSpan w:val="2"/>
          </w:tcPr>
          <w:p w:rsidR="009F3D70" w:rsidRPr="009F3D70" w:rsidRDefault="009F3D70" w:rsidP="00AC79DD">
            <w:pPr>
              <w:suppressLineNumbers/>
              <w:rPr>
                <w:rFonts w:ascii="David" w:hAnsi="David" w:cs="David"/>
                <w:b/>
                <w:bCs/>
                <w:sz w:val="14"/>
                <w:szCs w:val="14"/>
                <w:rtl/>
              </w:rPr>
            </w:pPr>
          </w:p>
          <w:p w:rsidR="009F3D70" w:rsidRPr="009F3D70" w:rsidRDefault="009F3D70" w:rsidP="00AC79DD">
            <w:pPr>
              <w:suppressLineNumbers/>
              <w:jc w:val="center"/>
              <w:rPr>
                <w:rFonts w:ascii="David" w:hAnsi="David" w:cs="David"/>
                <w:b/>
                <w:bCs/>
                <w:sz w:val="24"/>
                <w:szCs w:val="24"/>
                <w:rtl/>
              </w:rPr>
            </w:pPr>
            <w:r w:rsidRPr="009F3D70">
              <w:rPr>
                <w:rFonts w:ascii="David" w:hAnsi="David" w:cs="David"/>
                <w:b/>
                <w:bCs/>
                <w:sz w:val="24"/>
                <w:szCs w:val="24"/>
                <w:rtl/>
              </w:rPr>
              <w:t>נגד</w:t>
            </w:r>
          </w:p>
          <w:p w:rsidR="009F3D70" w:rsidRPr="009F3D70" w:rsidRDefault="009F3D70" w:rsidP="00AC79DD">
            <w:pPr>
              <w:suppressLineNumbers/>
              <w:rPr>
                <w:rFonts w:ascii="David" w:hAnsi="David" w:cs="David"/>
                <w:b/>
                <w:bCs/>
                <w:sz w:val="10"/>
                <w:szCs w:val="10"/>
              </w:rPr>
            </w:pPr>
          </w:p>
        </w:tc>
      </w:tr>
      <w:tr w:rsidR="009F3D70" w:rsidRPr="009F3D70" w:rsidTr="009F3D70">
        <w:trPr>
          <w:jc w:val="center"/>
        </w:trPr>
        <w:tc>
          <w:tcPr>
            <w:tcW w:w="3428" w:type="dxa"/>
          </w:tcPr>
          <w:p w:rsidR="009F3D70" w:rsidRPr="009F3D70" w:rsidRDefault="00021CE1" w:rsidP="009F3D70">
            <w:pPr>
              <w:suppressLineNumbers/>
              <w:rPr>
                <w:rFonts w:ascii="David" w:hAnsi="David" w:cs="David"/>
                <w:b/>
                <w:bCs/>
                <w:sz w:val="24"/>
                <w:szCs w:val="24"/>
              </w:rPr>
            </w:pPr>
            <w:sdt>
              <w:sdtPr>
                <w:rPr>
                  <w:rFonts w:ascii="David" w:hAnsi="David" w:cs="David"/>
                  <w:sz w:val="24"/>
                  <w:szCs w:val="24"/>
                  <w:rtl/>
                </w:rPr>
                <w:alias w:val="1184"/>
                <w:tag w:val="1184"/>
                <w:id w:val="-340621022"/>
                <w:showingPlcHdr/>
                <w:text w:multiLine="1"/>
              </w:sdtPr>
              <w:sdtEndPr/>
              <w:sdtContent>
                <w:r w:rsidR="009F3D70" w:rsidRPr="009F3D70">
                  <w:rPr>
                    <w:rFonts w:ascii="David" w:hAnsi="David" w:cs="David"/>
                    <w:sz w:val="24"/>
                    <w:szCs w:val="24"/>
                    <w:rtl/>
                  </w:rPr>
                  <w:t xml:space="preserve">     </w:t>
                </w:r>
              </w:sdtContent>
            </w:sdt>
          </w:p>
        </w:tc>
        <w:tc>
          <w:tcPr>
            <w:tcW w:w="5392" w:type="dxa"/>
          </w:tcPr>
          <w:p w:rsidR="009F3D70" w:rsidRPr="009F3D70" w:rsidRDefault="00021CE1" w:rsidP="009F3D70">
            <w:pPr>
              <w:pStyle w:val="a4"/>
              <w:numPr>
                <w:ilvl w:val="0"/>
                <w:numId w:val="1"/>
              </w:numPr>
              <w:suppressLineNumbers/>
              <w:spacing w:line="240" w:lineRule="auto"/>
              <w:rPr>
                <w:rFonts w:ascii="David" w:hAnsi="David" w:cs="David"/>
                <w:sz w:val="24"/>
                <w:szCs w:val="24"/>
                <w:rtl/>
              </w:rPr>
            </w:pPr>
            <w:sdt>
              <w:sdtPr>
                <w:rPr>
                  <w:rFonts w:ascii="David" w:hAnsi="David" w:cs="David"/>
                  <w:b/>
                  <w:bCs/>
                  <w:sz w:val="24"/>
                  <w:szCs w:val="24"/>
                  <w:rtl/>
                </w:rPr>
                <w:alias w:val="3152"/>
                <w:tag w:val="3152"/>
                <w:id w:val="1920052440"/>
                <w:placeholder>
                  <w:docPart w:val="5CC5EDD970A540D0BB573A1DA33BB428"/>
                </w:placeholder>
                <w:text w:multiLine="1"/>
              </w:sdtPr>
              <w:sdtEndPr/>
              <w:sdtContent>
                <w:r w:rsidR="009F3D70" w:rsidRPr="009F3D70">
                  <w:rPr>
                    <w:rFonts w:ascii="David" w:hAnsi="David" w:cs="David"/>
                    <w:b/>
                    <w:bCs/>
                    <w:sz w:val="24"/>
                    <w:szCs w:val="24"/>
                    <w:rtl/>
                  </w:rPr>
                  <w:t xml:space="preserve"> עפר  דורון</w:t>
                </w:r>
                <w:r w:rsidR="009F3D70" w:rsidRPr="009F3D70">
                  <w:rPr>
                    <w:rFonts w:ascii="David" w:hAnsi="David" w:cs="David"/>
                    <w:b/>
                    <w:bCs/>
                    <w:sz w:val="24"/>
                    <w:szCs w:val="24"/>
                    <w:rtl/>
                  </w:rPr>
                  <w:br/>
                </w:r>
              </w:sdtContent>
            </w:sdt>
            <w:r w:rsidR="009F3D70" w:rsidRPr="009F3D70">
              <w:rPr>
                <w:rFonts w:ascii="David" w:hAnsi="David" w:cs="David"/>
                <w:b/>
                <w:bCs/>
                <w:sz w:val="24"/>
                <w:szCs w:val="24"/>
                <w:rtl/>
              </w:rPr>
              <w:t xml:space="preserve"> </w:t>
            </w:r>
            <w:r w:rsidR="009F3D70" w:rsidRPr="009F3D70">
              <w:rPr>
                <w:rFonts w:ascii="David" w:hAnsi="David" w:cs="David"/>
                <w:sz w:val="24"/>
                <w:szCs w:val="24"/>
                <w:rtl/>
              </w:rPr>
              <w:t xml:space="preserve">ע"י ב"כ עו"ד גב' </w:t>
            </w:r>
            <w:proofErr w:type="spellStart"/>
            <w:r w:rsidR="009F3D70" w:rsidRPr="009F3D70">
              <w:rPr>
                <w:rFonts w:ascii="David" w:hAnsi="David" w:cs="David"/>
                <w:sz w:val="24"/>
                <w:szCs w:val="24"/>
                <w:rtl/>
              </w:rPr>
              <w:t>נוית</w:t>
            </w:r>
            <w:proofErr w:type="spellEnd"/>
            <w:r w:rsidR="009F3D70" w:rsidRPr="009F3D70">
              <w:rPr>
                <w:rFonts w:ascii="David" w:hAnsi="David" w:cs="David"/>
                <w:sz w:val="24"/>
                <w:szCs w:val="24"/>
                <w:rtl/>
              </w:rPr>
              <w:t xml:space="preserve"> נגב ואח'</w:t>
            </w:r>
          </w:p>
          <w:p w:rsidR="009F3D70" w:rsidRPr="009F3D70" w:rsidRDefault="00021CE1" w:rsidP="009F3D70">
            <w:pPr>
              <w:pStyle w:val="a4"/>
              <w:numPr>
                <w:ilvl w:val="0"/>
                <w:numId w:val="1"/>
              </w:numPr>
              <w:suppressLineNumbers/>
              <w:spacing w:line="240" w:lineRule="auto"/>
              <w:rPr>
                <w:rFonts w:ascii="David" w:hAnsi="David" w:cs="David"/>
                <w:b/>
                <w:bCs/>
                <w:sz w:val="24"/>
                <w:szCs w:val="24"/>
              </w:rPr>
            </w:pPr>
            <w:sdt>
              <w:sdtPr>
                <w:rPr>
                  <w:rFonts w:ascii="David" w:hAnsi="David" w:cs="David"/>
                  <w:b/>
                  <w:bCs/>
                  <w:sz w:val="24"/>
                  <w:szCs w:val="24"/>
                  <w:rtl/>
                </w:rPr>
                <w:alias w:val="3152"/>
                <w:tag w:val="3152"/>
                <w:id w:val="-1658148780"/>
                <w:placeholder>
                  <w:docPart w:val="5CC5EDD970A540D0BB573A1DA33BB428"/>
                </w:placeholder>
                <w:text w:multiLine="1"/>
              </w:sdtPr>
              <w:sdtEndPr/>
              <w:sdtContent>
                <w:r w:rsidR="009F3D70" w:rsidRPr="009F3D70">
                  <w:rPr>
                    <w:rFonts w:ascii="David" w:hAnsi="David" w:cs="David"/>
                    <w:b/>
                    <w:bCs/>
                    <w:sz w:val="24"/>
                    <w:szCs w:val="24"/>
                    <w:rtl/>
                  </w:rPr>
                  <w:t xml:space="preserve">גל דורון </w:t>
                </w:r>
                <w:r w:rsidR="009F3D70" w:rsidRPr="009F3D70">
                  <w:rPr>
                    <w:rFonts w:ascii="David" w:hAnsi="David" w:cs="David"/>
                    <w:b/>
                    <w:bCs/>
                    <w:sz w:val="24"/>
                    <w:szCs w:val="24"/>
                    <w:rtl/>
                  </w:rPr>
                  <w:br/>
                </w:r>
              </w:sdtContent>
            </w:sdt>
            <w:r w:rsidR="009F3D70" w:rsidRPr="009F3D70">
              <w:rPr>
                <w:rFonts w:ascii="David" w:hAnsi="David" w:cs="David"/>
                <w:sz w:val="24"/>
                <w:szCs w:val="24"/>
                <w:rtl/>
              </w:rPr>
              <w:t>ע"י ב"כ עו"ד ניר אלפסה</w:t>
            </w:r>
          </w:p>
          <w:p w:rsidR="009F3D70" w:rsidRPr="009F3D70" w:rsidRDefault="009F3D70" w:rsidP="009F3D70">
            <w:pPr>
              <w:pStyle w:val="a4"/>
              <w:numPr>
                <w:ilvl w:val="0"/>
                <w:numId w:val="1"/>
              </w:numPr>
              <w:suppressLineNumbers/>
              <w:spacing w:line="240" w:lineRule="auto"/>
              <w:rPr>
                <w:rFonts w:ascii="David" w:hAnsi="David" w:cs="David"/>
                <w:b/>
                <w:bCs/>
                <w:sz w:val="24"/>
                <w:szCs w:val="24"/>
              </w:rPr>
            </w:pPr>
            <w:r w:rsidRPr="009F3D70">
              <w:rPr>
                <w:rFonts w:ascii="David" w:hAnsi="David" w:cs="David"/>
                <w:b/>
                <w:bCs/>
                <w:sz w:val="24"/>
                <w:szCs w:val="24"/>
                <w:rtl/>
              </w:rPr>
              <w:t>אתי יעקב יפה</w:t>
            </w:r>
          </w:p>
          <w:p w:rsidR="009F3D70" w:rsidRPr="009F3D70" w:rsidRDefault="009F3D70" w:rsidP="00AC79DD">
            <w:pPr>
              <w:pStyle w:val="a4"/>
              <w:suppressLineNumbers/>
              <w:spacing w:line="240" w:lineRule="auto"/>
              <w:rPr>
                <w:rFonts w:ascii="David" w:hAnsi="David" w:cs="David"/>
                <w:sz w:val="24"/>
                <w:szCs w:val="24"/>
                <w:rtl/>
              </w:rPr>
            </w:pPr>
            <w:r w:rsidRPr="009F3D70">
              <w:rPr>
                <w:rFonts w:ascii="David" w:hAnsi="David" w:cs="David"/>
                <w:sz w:val="24"/>
                <w:szCs w:val="24"/>
                <w:rtl/>
              </w:rPr>
              <w:t>ע"י ב"כ עו"ד גונן בן יצחק</w:t>
            </w:r>
          </w:p>
          <w:p w:rsidR="009F3D70" w:rsidRPr="009F3D70" w:rsidRDefault="009F3D70" w:rsidP="00AC79DD">
            <w:pPr>
              <w:pStyle w:val="a4"/>
              <w:suppressLineNumbers/>
              <w:spacing w:line="240" w:lineRule="auto"/>
              <w:rPr>
                <w:rFonts w:ascii="David" w:hAnsi="David" w:cs="David"/>
                <w:b/>
                <w:bCs/>
                <w:sz w:val="24"/>
                <w:szCs w:val="24"/>
                <w:rtl/>
              </w:rPr>
            </w:pPr>
            <w:r w:rsidRPr="009F3D70">
              <w:rPr>
                <w:rFonts w:ascii="David" w:hAnsi="David" w:cs="David"/>
                <w:b/>
                <w:bCs/>
                <w:sz w:val="24"/>
                <w:szCs w:val="24"/>
                <w:rtl/>
              </w:rPr>
              <w:t>אמיר שדה</w:t>
            </w:r>
          </w:p>
          <w:p w:rsidR="009F3D70" w:rsidRPr="009F3D70" w:rsidRDefault="009F3D70" w:rsidP="00AC79DD">
            <w:pPr>
              <w:pStyle w:val="a4"/>
              <w:suppressLineNumbers/>
              <w:spacing w:line="240" w:lineRule="auto"/>
              <w:rPr>
                <w:rFonts w:ascii="David" w:hAnsi="David" w:cs="David"/>
                <w:sz w:val="24"/>
                <w:szCs w:val="24"/>
                <w:rtl/>
              </w:rPr>
            </w:pPr>
            <w:r w:rsidRPr="009F3D70">
              <w:rPr>
                <w:rFonts w:ascii="David" w:hAnsi="David" w:cs="David"/>
                <w:sz w:val="24"/>
                <w:szCs w:val="24"/>
                <w:rtl/>
              </w:rPr>
              <w:t>ע"י ב"כ עו"ד גונן בן יצחק</w:t>
            </w:r>
          </w:p>
          <w:p w:rsidR="009F3D70" w:rsidRPr="009F3D70" w:rsidRDefault="009F3D70" w:rsidP="00AC79DD">
            <w:pPr>
              <w:suppressLineNumbers/>
              <w:rPr>
                <w:rFonts w:ascii="David" w:hAnsi="David" w:cs="David"/>
                <w:sz w:val="24"/>
                <w:szCs w:val="24"/>
                <w:rtl/>
              </w:rPr>
            </w:pPr>
          </w:p>
        </w:tc>
      </w:tr>
    </w:tbl>
    <w:p w:rsidR="00171433" w:rsidRPr="00426E85" w:rsidRDefault="00171433" w:rsidP="00171433">
      <w:pPr>
        <w:jc w:val="center"/>
        <w:rPr>
          <w:rFonts w:ascii="David" w:hAnsi="David" w:cs="David"/>
          <w:b/>
          <w:bCs/>
          <w:sz w:val="28"/>
          <w:szCs w:val="28"/>
          <w:u w:val="single"/>
          <w:rtl/>
        </w:rPr>
      </w:pPr>
      <w:r w:rsidRPr="00426E85">
        <w:rPr>
          <w:rFonts w:ascii="David" w:hAnsi="David" w:cs="David"/>
          <w:b/>
          <w:bCs/>
          <w:sz w:val="28"/>
          <w:szCs w:val="28"/>
          <w:u w:val="single"/>
          <w:rtl/>
        </w:rPr>
        <w:t>תקציר החלטה</w:t>
      </w:r>
    </w:p>
    <w:p w:rsidR="00897B4A" w:rsidRPr="00897B4A" w:rsidRDefault="00897B4A" w:rsidP="007E2A93">
      <w:pPr>
        <w:pStyle w:val="a4"/>
        <w:spacing w:line="240" w:lineRule="auto"/>
        <w:jc w:val="both"/>
        <w:rPr>
          <w:rFonts w:ascii="David" w:hAnsi="David" w:cs="David"/>
          <w:sz w:val="24"/>
          <w:szCs w:val="24"/>
        </w:rPr>
      </w:pPr>
      <w:r w:rsidRPr="00897B4A">
        <w:rPr>
          <w:rFonts w:ascii="David" w:hAnsi="David" w:cs="David"/>
          <w:sz w:val="24"/>
          <w:szCs w:val="24"/>
          <w:rtl/>
        </w:rPr>
        <w:t>בפניי בקשה למעצר המשיבים עד תום ההליכים המשפטיים, זאת לאחר שהוגש נגדם כתב אישום המייחס להם ביצוע העבירות הבאות:</w:t>
      </w:r>
    </w:p>
    <w:p w:rsidR="00897B4A" w:rsidRPr="00897B4A" w:rsidRDefault="00897B4A" w:rsidP="00897B4A">
      <w:pPr>
        <w:spacing w:line="240" w:lineRule="auto"/>
        <w:ind w:left="720"/>
        <w:jc w:val="both"/>
        <w:rPr>
          <w:rFonts w:ascii="David" w:hAnsi="David" w:cs="David"/>
          <w:sz w:val="24"/>
          <w:szCs w:val="24"/>
        </w:rPr>
      </w:pPr>
      <w:r w:rsidRPr="00897B4A">
        <w:rPr>
          <w:rFonts w:ascii="David" w:hAnsi="David" w:cs="David"/>
          <w:b/>
          <w:bCs/>
          <w:sz w:val="24"/>
          <w:szCs w:val="24"/>
          <w:rtl/>
        </w:rPr>
        <w:t>מעשה טרור של מעשה פזיזות ורשלנות (פזיזות באש)</w:t>
      </w:r>
      <w:r w:rsidRPr="00897B4A">
        <w:rPr>
          <w:rFonts w:ascii="David" w:hAnsi="David" w:cs="David"/>
          <w:sz w:val="24"/>
          <w:szCs w:val="24"/>
          <w:rtl/>
        </w:rPr>
        <w:t xml:space="preserve"> – עבירה על סעיפים 338(א)(3) + 29 לחוק העונשין, התשל"ז-1977 +  סעיף 37(א) לחוק המאבק בטרור, תשע"ו-2016;</w:t>
      </w:r>
    </w:p>
    <w:p w:rsidR="00897B4A" w:rsidRPr="00897B4A" w:rsidRDefault="00897B4A" w:rsidP="00897B4A">
      <w:pPr>
        <w:spacing w:line="240" w:lineRule="auto"/>
        <w:ind w:firstLine="720"/>
        <w:jc w:val="both"/>
        <w:rPr>
          <w:rFonts w:ascii="David" w:hAnsi="David" w:cs="David"/>
          <w:sz w:val="24"/>
          <w:szCs w:val="24"/>
          <w:rtl/>
        </w:rPr>
      </w:pPr>
      <w:r w:rsidRPr="00897B4A">
        <w:rPr>
          <w:rFonts w:ascii="David" w:hAnsi="David" w:cs="David"/>
          <w:b/>
          <w:bCs/>
          <w:sz w:val="24"/>
          <w:szCs w:val="24"/>
          <w:rtl/>
        </w:rPr>
        <w:t>ניסיון הצתה</w:t>
      </w:r>
      <w:r w:rsidRPr="00897B4A">
        <w:rPr>
          <w:rFonts w:ascii="David" w:hAnsi="David" w:cs="David"/>
          <w:sz w:val="24"/>
          <w:szCs w:val="24"/>
          <w:rtl/>
        </w:rPr>
        <w:t xml:space="preserve"> – עבירה על סעיפים 448(א)+סעיף 25+סעיף 29 לחוק העונשין;</w:t>
      </w:r>
    </w:p>
    <w:p w:rsidR="00171433" w:rsidRDefault="00897B4A" w:rsidP="00897B4A">
      <w:pPr>
        <w:spacing w:line="240" w:lineRule="auto"/>
        <w:ind w:left="720"/>
        <w:jc w:val="both"/>
        <w:rPr>
          <w:rFonts w:ascii="David" w:hAnsi="David" w:cs="David"/>
          <w:b/>
          <w:bCs/>
          <w:sz w:val="24"/>
          <w:szCs w:val="24"/>
          <w:rtl/>
        </w:rPr>
      </w:pPr>
      <w:r w:rsidRPr="00897B4A">
        <w:rPr>
          <w:rFonts w:ascii="David" w:hAnsi="David" w:cs="David"/>
          <w:b/>
          <w:bCs/>
          <w:sz w:val="24"/>
          <w:szCs w:val="24"/>
          <w:rtl/>
        </w:rPr>
        <w:t>שיבוש הליכי משפט – עבירה על סעיפים 244+סעיף 29 לחוק העונשין (בנוגע לנאשמים 1+2 בלבד).</w:t>
      </w:r>
    </w:p>
    <w:p w:rsidR="00432641" w:rsidRDefault="00432641" w:rsidP="00897B4A">
      <w:pPr>
        <w:spacing w:line="240" w:lineRule="auto"/>
        <w:ind w:left="720"/>
        <w:jc w:val="both"/>
        <w:rPr>
          <w:rFonts w:ascii="David" w:hAnsi="David" w:cs="David"/>
          <w:b/>
          <w:bCs/>
          <w:sz w:val="24"/>
          <w:szCs w:val="24"/>
          <w:rtl/>
        </w:rPr>
      </w:pPr>
    </w:p>
    <w:p w:rsidR="00191BEE" w:rsidRPr="00191BEE" w:rsidRDefault="00191BEE" w:rsidP="00897B4A">
      <w:pPr>
        <w:spacing w:line="240" w:lineRule="auto"/>
        <w:ind w:left="720"/>
        <w:jc w:val="both"/>
        <w:rPr>
          <w:rFonts w:ascii="David" w:hAnsi="David" w:cs="David"/>
          <w:b/>
          <w:bCs/>
          <w:sz w:val="24"/>
          <w:szCs w:val="24"/>
          <w:u w:val="single"/>
          <w:rtl/>
        </w:rPr>
      </w:pPr>
      <w:r w:rsidRPr="00191BEE">
        <w:rPr>
          <w:rFonts w:ascii="David" w:hAnsi="David" w:cs="David" w:hint="cs"/>
          <w:b/>
          <w:bCs/>
          <w:sz w:val="24"/>
          <w:szCs w:val="24"/>
          <w:u w:val="single"/>
          <w:rtl/>
        </w:rPr>
        <w:t>ראיות לכאורה</w:t>
      </w:r>
    </w:p>
    <w:p w:rsidR="006769BA" w:rsidRDefault="00EB6950" w:rsidP="007E2A93">
      <w:pPr>
        <w:pStyle w:val="a4"/>
        <w:spacing w:line="360" w:lineRule="auto"/>
        <w:jc w:val="both"/>
        <w:rPr>
          <w:rFonts w:ascii="David" w:hAnsi="David" w:cs="David"/>
          <w:sz w:val="24"/>
          <w:szCs w:val="24"/>
        </w:rPr>
      </w:pPr>
      <w:r>
        <w:rPr>
          <w:rFonts w:ascii="David" w:hAnsi="David" w:cs="David" w:hint="cs"/>
          <w:sz w:val="24"/>
          <w:szCs w:val="24"/>
          <w:rtl/>
        </w:rPr>
        <w:t xml:space="preserve">בנוגע לעבירה שעניינה </w:t>
      </w:r>
      <w:r w:rsidR="006769BA">
        <w:rPr>
          <w:rFonts w:ascii="David" w:hAnsi="David" w:cs="David"/>
          <w:b/>
          <w:bCs/>
          <w:sz w:val="24"/>
          <w:szCs w:val="24"/>
          <w:rtl/>
        </w:rPr>
        <w:t>שיבוש מהלכי משפט</w:t>
      </w:r>
      <w:r w:rsidR="006769BA">
        <w:rPr>
          <w:rFonts w:ascii="David" w:hAnsi="David" w:cs="David"/>
          <w:sz w:val="24"/>
          <w:szCs w:val="24"/>
          <w:rtl/>
        </w:rPr>
        <w:t xml:space="preserve"> -  גרסת המשיבים מאשרת את הנטען בעניין זה, על כן קיימות ראיות לכאורה, שיש בהן פוטנציאל להרשעת המשיבים 1 ו- 2 בביצוע עבירה זו, וההסבר שמסר המשיב 1, שהדבר נבע מרצונו שלא לערב את בנו, המשיב 2, באירוע, אין בו כדי להפחית מעוצמת הראיות לכאורה, וכך אני קובע.</w:t>
      </w:r>
    </w:p>
    <w:p w:rsidR="00171433" w:rsidRPr="007E2A93" w:rsidRDefault="00171433" w:rsidP="00897B4A">
      <w:pPr>
        <w:spacing w:line="240" w:lineRule="auto"/>
        <w:jc w:val="both"/>
        <w:rPr>
          <w:rFonts w:ascii="David" w:hAnsi="David" w:cs="David"/>
          <w:sz w:val="2"/>
          <w:szCs w:val="2"/>
          <w:rtl/>
        </w:rPr>
      </w:pPr>
    </w:p>
    <w:p w:rsidR="006769BA" w:rsidRDefault="00EB6950" w:rsidP="007E2A93">
      <w:pPr>
        <w:pStyle w:val="1"/>
        <w:numPr>
          <w:ilvl w:val="0"/>
          <w:numId w:val="0"/>
        </w:numPr>
        <w:tabs>
          <w:tab w:val="left" w:pos="720"/>
        </w:tabs>
        <w:spacing w:after="200"/>
        <w:ind w:left="720"/>
        <w:rPr>
          <w:rFonts w:ascii="David" w:hAnsi="David"/>
          <w:sz w:val="24"/>
        </w:rPr>
      </w:pPr>
      <w:r>
        <w:rPr>
          <w:rFonts w:hint="cs"/>
          <w:rtl/>
        </w:rPr>
        <w:t xml:space="preserve">בנוגע לכיוון ירי הנורים שבוצע, </w:t>
      </w:r>
      <w:r w:rsidR="006769BA">
        <w:rPr>
          <w:rtl/>
        </w:rPr>
        <w:t>אין בידי, לקבל את הסברי המשיבים ובאי-כוחם</w:t>
      </w:r>
      <w:r>
        <w:rPr>
          <w:rFonts w:hint="cs"/>
          <w:rtl/>
        </w:rPr>
        <w:t>, שהירי כוון לכל היותר לעבר הדיונה, ולא לכיוון בית ראש הממשלה</w:t>
      </w:r>
      <w:r w:rsidR="006769BA">
        <w:rPr>
          <w:rtl/>
        </w:rPr>
        <w:t xml:space="preserve"> - </w:t>
      </w:r>
      <w:r w:rsidR="006769BA">
        <w:rPr>
          <w:rFonts w:ascii="David" w:hAnsi="David"/>
          <w:rtl/>
        </w:rPr>
        <w:t xml:space="preserve">סופו של מעוף הנורים הוא בהגעתם עד לבית ראש הממשלה, ופגיעתם בו בשני אזורים, כך שגם התוצאה מעידה על כך, שבית ראש הממשלה אכן נמצא בכיוון הירי, גם אם המשיבים לא התכוונו לכך, שהנורים יגיעו עד לשם. מכאן, אמנם לא הייתה למי מהמשיבים כל כוונה לפגוע בבית ראש הממשלה, אך </w:t>
      </w:r>
      <w:r w:rsidR="006769BA">
        <w:rPr>
          <w:rFonts w:ascii="David" w:hAnsi="David"/>
          <w:sz w:val="24"/>
          <w:rtl/>
        </w:rPr>
        <w:t>על אף זאת, הנורים נורו לכיוון כללי בו נמצא בית ראש הממשלה.</w:t>
      </w:r>
    </w:p>
    <w:p w:rsidR="00EB6950" w:rsidRPr="007E2A93" w:rsidRDefault="00EB6950" w:rsidP="00EB6950">
      <w:pPr>
        <w:pStyle w:val="a4"/>
        <w:rPr>
          <w:rFonts w:ascii="David" w:hAnsi="David"/>
          <w:sz w:val="2"/>
          <w:szCs w:val="2"/>
          <w:rtl/>
        </w:rPr>
      </w:pPr>
    </w:p>
    <w:p w:rsidR="00EB6950" w:rsidRPr="00EB6950" w:rsidRDefault="00EB6950" w:rsidP="007E2A93">
      <w:pPr>
        <w:pStyle w:val="1"/>
        <w:numPr>
          <w:ilvl w:val="0"/>
          <w:numId w:val="0"/>
        </w:numPr>
        <w:tabs>
          <w:tab w:val="left" w:pos="720"/>
        </w:tabs>
        <w:spacing w:after="200"/>
        <w:ind w:left="720"/>
        <w:rPr>
          <w:rFonts w:ascii="David" w:hAnsi="David"/>
          <w:sz w:val="24"/>
        </w:rPr>
      </w:pPr>
      <w:r>
        <w:rPr>
          <w:rFonts w:ascii="David" w:hAnsi="David" w:hint="cs"/>
          <w:sz w:val="24"/>
          <w:rtl/>
        </w:rPr>
        <w:t xml:space="preserve">בנוגע לעבירה שעניינה </w:t>
      </w:r>
      <w:r w:rsidRPr="00897B4A">
        <w:rPr>
          <w:rFonts w:ascii="David" w:hAnsi="David"/>
          <w:b/>
          <w:bCs/>
          <w:sz w:val="24"/>
          <w:rtl/>
        </w:rPr>
        <w:t>מעשה טרור של מעשה פזיזות ורשלנות (פזיזות באש)</w:t>
      </w:r>
      <w:r>
        <w:rPr>
          <w:rFonts w:ascii="David" w:hAnsi="David" w:hint="cs"/>
          <w:sz w:val="24"/>
          <w:rtl/>
        </w:rPr>
        <w:t xml:space="preserve"> </w:t>
      </w:r>
      <w:r>
        <w:rPr>
          <w:rFonts w:ascii="David" w:hAnsi="David"/>
          <w:sz w:val="24"/>
          <w:rtl/>
        </w:rPr>
        <w:t>–</w:t>
      </w:r>
      <w:r>
        <w:rPr>
          <w:rFonts w:ascii="David" w:hAnsi="David" w:hint="cs"/>
          <w:sz w:val="24"/>
          <w:rtl/>
        </w:rPr>
        <w:t xml:space="preserve"> שוכנעתי שאכן קיימות ראיות לכאורה לכך שהמשיבים ביצעו עבירה של מעשה פזיזות ורשלנות </w:t>
      </w:r>
      <w:r w:rsidRPr="00EB6950">
        <w:rPr>
          <w:rFonts w:ascii="David" w:hAnsi="David" w:hint="cs"/>
          <w:sz w:val="24"/>
          <w:rtl/>
        </w:rPr>
        <w:t xml:space="preserve">(פזיזות באש), בכך שירו שני נורים </w:t>
      </w:r>
      <w:r w:rsidRPr="00EB6950">
        <w:rPr>
          <w:rtl/>
        </w:rPr>
        <w:t>לכיוון כללי בו נמצא בית ראש הממשלה, ביודעם שאנשי בטחון נמצאים בסביבתו, בדרך נמהרת או רשלנית, שיש בה כדי לסכן חיי אדם או לגרום לו חבלה</w:t>
      </w:r>
      <w:r>
        <w:rPr>
          <w:rFonts w:ascii="David" w:hAnsi="David" w:hint="cs"/>
          <w:sz w:val="24"/>
          <w:rtl/>
        </w:rPr>
        <w:t>.</w:t>
      </w:r>
    </w:p>
    <w:p w:rsidR="001D599A" w:rsidRDefault="003667E2" w:rsidP="007E2A93">
      <w:pPr>
        <w:pStyle w:val="1"/>
        <w:numPr>
          <w:ilvl w:val="0"/>
          <w:numId w:val="0"/>
        </w:numPr>
        <w:tabs>
          <w:tab w:val="left" w:pos="720"/>
        </w:tabs>
        <w:ind w:left="720"/>
      </w:pPr>
      <w:r>
        <w:rPr>
          <w:rFonts w:ascii="David" w:hAnsi="David" w:hint="cs"/>
          <w:sz w:val="24"/>
          <w:rtl/>
        </w:rPr>
        <w:lastRenderedPageBreak/>
        <w:t xml:space="preserve">לאחר בחינת כל חומר הראיות שוכנעתי, כי קיימות ראיות לכאורה, לפיהן מעשי המשיבים, עת ירו את </w:t>
      </w:r>
      <w:proofErr w:type="spellStart"/>
      <w:r>
        <w:rPr>
          <w:rFonts w:ascii="David" w:hAnsi="David" w:hint="cs"/>
          <w:sz w:val="24"/>
          <w:rtl/>
        </w:rPr>
        <w:t>נורי</w:t>
      </w:r>
      <w:proofErr w:type="spellEnd"/>
      <w:r>
        <w:rPr>
          <w:rFonts w:ascii="David" w:hAnsi="David" w:hint="cs"/>
          <w:sz w:val="24"/>
          <w:rtl/>
        </w:rPr>
        <w:t xml:space="preserve"> התאורה, נבעו ממניעים אידיאולוגיים, דהיינו, רצונם להעביר מסר, לפיו פעילות המחאה בקיסריה לא פסקה</w:t>
      </w:r>
      <w:r w:rsidR="00FC669E">
        <w:rPr>
          <w:rFonts w:ascii="David" w:hAnsi="David" w:hint="cs"/>
          <w:sz w:val="24"/>
          <w:rtl/>
        </w:rPr>
        <w:t>.</w:t>
      </w:r>
    </w:p>
    <w:p w:rsidR="00FC669E" w:rsidRDefault="00FC669E" w:rsidP="007E2A93">
      <w:pPr>
        <w:pStyle w:val="1"/>
        <w:numPr>
          <w:ilvl w:val="0"/>
          <w:numId w:val="0"/>
        </w:numPr>
        <w:tabs>
          <w:tab w:val="left" w:pos="720"/>
        </w:tabs>
        <w:ind w:left="720"/>
        <w:rPr>
          <w:rtl/>
        </w:rPr>
      </w:pPr>
      <w:r>
        <w:rPr>
          <w:rFonts w:hint="cs"/>
          <w:rtl/>
        </w:rPr>
        <w:t xml:space="preserve">מכל הדיונים המוקדמים לקראת חקיקת החוק עולה, שהדרישה לקיום התנאים של מעשה טרור הוא "אילוץ ממשלה" ולא "הפעלת לחץ על ממשלה", אחרת כל מחאה, מכל סוג שהיא, גם בסוגיית איכות הסביבה, או מחאה כנגד חוק הנראה בעיני חלק מהציבור כחוק "מגדרי", או חוק שנטען כי הוא מפלה חלק מהאוכלוסייה לעומת החלק האחר, וכו' </w:t>
      </w:r>
      <w:r>
        <w:rPr>
          <w:rtl/>
        </w:rPr>
        <w:t>–</w:t>
      </w:r>
      <w:r>
        <w:rPr>
          <w:rFonts w:hint="cs"/>
          <w:rtl/>
        </w:rPr>
        <w:t xml:space="preserve"> כל מחאה כזו, שתתלווה אליה עבירה נוספת כגון אלימות -  עלולה להיכנס תחת המעטה של "מעשה טרור", והמדרון החלקלק עלול להוביל לתוצאות אפלות - ולא לכך כיוון המחוקק, שקיים דיון מעמיק, ובסיומו נבחרה המילה "לאלץ", ולא מילה מרוככת יותר, וזאת בכדי להימנע מסכנה של הרחבת המקרים עליהם תחול ההגדרה של "מעשה טרור".</w:t>
      </w:r>
    </w:p>
    <w:p w:rsidR="003667E2" w:rsidRPr="007E2A93" w:rsidRDefault="003667E2" w:rsidP="003667E2">
      <w:pPr>
        <w:pStyle w:val="a4"/>
        <w:rPr>
          <w:rFonts w:ascii="David" w:hAnsi="David" w:cs="David"/>
          <w:sz w:val="2"/>
          <w:szCs w:val="2"/>
          <w:rtl/>
        </w:rPr>
      </w:pPr>
    </w:p>
    <w:p w:rsidR="003667E2" w:rsidRDefault="003667E2" w:rsidP="007E2A93">
      <w:pPr>
        <w:pStyle w:val="a4"/>
        <w:spacing w:line="360" w:lineRule="auto"/>
        <w:jc w:val="both"/>
        <w:rPr>
          <w:rFonts w:ascii="David" w:hAnsi="David" w:cs="David"/>
          <w:b/>
          <w:bCs/>
          <w:sz w:val="24"/>
          <w:szCs w:val="24"/>
        </w:rPr>
      </w:pPr>
      <w:r>
        <w:rPr>
          <w:rFonts w:ascii="David" w:hAnsi="David" w:cs="David" w:hint="cs"/>
          <w:b/>
          <w:bCs/>
          <w:sz w:val="24"/>
          <w:szCs w:val="24"/>
          <w:rtl/>
        </w:rPr>
        <w:t>סוף דבר</w:t>
      </w:r>
      <w:r w:rsidRPr="00262F29">
        <w:rPr>
          <w:rFonts w:ascii="David" w:hAnsi="David" w:cs="David" w:hint="cs"/>
          <w:b/>
          <w:bCs/>
          <w:sz w:val="24"/>
          <w:szCs w:val="24"/>
          <w:rtl/>
        </w:rPr>
        <w:t xml:space="preserve"> </w:t>
      </w:r>
      <w:r w:rsidRPr="00262F29">
        <w:rPr>
          <w:rFonts w:ascii="David" w:hAnsi="David" w:cs="David"/>
          <w:b/>
          <w:bCs/>
          <w:sz w:val="24"/>
          <w:szCs w:val="24"/>
          <w:rtl/>
        </w:rPr>
        <w:t>–</w:t>
      </w:r>
      <w:r w:rsidRPr="00262F29">
        <w:rPr>
          <w:rFonts w:ascii="David" w:hAnsi="David" w:cs="David" w:hint="cs"/>
          <w:b/>
          <w:bCs/>
          <w:sz w:val="24"/>
          <w:szCs w:val="24"/>
          <w:rtl/>
        </w:rPr>
        <w:t xml:space="preserve"> </w:t>
      </w:r>
      <w:r>
        <w:rPr>
          <w:rFonts w:ascii="David" w:hAnsi="David" w:cs="David" w:hint="cs"/>
          <w:b/>
          <w:bCs/>
          <w:sz w:val="24"/>
          <w:szCs w:val="24"/>
          <w:rtl/>
        </w:rPr>
        <w:t xml:space="preserve">לאחר בחינת מכלול חומר הראיות </w:t>
      </w:r>
      <w:r w:rsidRPr="00262F29">
        <w:rPr>
          <w:rFonts w:ascii="David" w:hAnsi="David" w:cs="David" w:hint="cs"/>
          <w:b/>
          <w:bCs/>
          <w:sz w:val="24"/>
          <w:szCs w:val="24"/>
          <w:rtl/>
        </w:rPr>
        <w:t>הגעתי למסקנה</w:t>
      </w:r>
      <w:r>
        <w:rPr>
          <w:rFonts w:ascii="David" w:hAnsi="David" w:cs="David" w:hint="cs"/>
          <w:b/>
          <w:bCs/>
          <w:sz w:val="24"/>
          <w:szCs w:val="24"/>
          <w:rtl/>
        </w:rPr>
        <w:t>,</w:t>
      </w:r>
      <w:r w:rsidRPr="00262F29">
        <w:rPr>
          <w:rFonts w:ascii="David" w:hAnsi="David" w:cs="David" w:hint="cs"/>
          <w:b/>
          <w:bCs/>
          <w:sz w:val="24"/>
          <w:szCs w:val="24"/>
          <w:rtl/>
        </w:rPr>
        <w:t xml:space="preserve"> לפיה אמנם קיימות ראיות לכאורה לכך שהמשיבים עברו עבירה של מעשה פזיזות ורשלנות (פזיזות באש), אך אין ראיות לכאורה</w:t>
      </w:r>
      <w:r>
        <w:rPr>
          <w:rFonts w:ascii="David" w:hAnsi="David" w:cs="David" w:hint="cs"/>
          <w:b/>
          <w:bCs/>
          <w:sz w:val="24"/>
          <w:szCs w:val="24"/>
          <w:rtl/>
        </w:rPr>
        <w:t>, שיש בהן פוטנציאל להרשעת המשיבים בכך</w:t>
      </w:r>
      <w:r w:rsidRPr="00262F29">
        <w:rPr>
          <w:rFonts w:ascii="David" w:hAnsi="David" w:cs="David" w:hint="cs"/>
          <w:b/>
          <w:bCs/>
          <w:sz w:val="24"/>
          <w:szCs w:val="24"/>
          <w:rtl/>
        </w:rPr>
        <w:t xml:space="preserve">, שמעשה </w:t>
      </w:r>
      <w:r>
        <w:rPr>
          <w:rFonts w:ascii="David" w:hAnsi="David" w:cs="David" w:hint="cs"/>
          <w:b/>
          <w:bCs/>
          <w:sz w:val="24"/>
          <w:szCs w:val="24"/>
          <w:rtl/>
        </w:rPr>
        <w:t xml:space="preserve">הפזיזות באש </w:t>
      </w:r>
      <w:r w:rsidRPr="00262F29">
        <w:rPr>
          <w:rFonts w:ascii="David" w:hAnsi="David" w:cs="David" w:hint="cs"/>
          <w:b/>
          <w:bCs/>
          <w:sz w:val="24"/>
          <w:szCs w:val="24"/>
          <w:rtl/>
        </w:rPr>
        <w:t>הוא מעשה טרור.</w:t>
      </w:r>
    </w:p>
    <w:p w:rsidR="003667E2" w:rsidRPr="007E2A93" w:rsidRDefault="003667E2" w:rsidP="003667E2">
      <w:pPr>
        <w:spacing w:line="360" w:lineRule="auto"/>
        <w:jc w:val="both"/>
        <w:rPr>
          <w:rFonts w:ascii="David" w:hAnsi="David" w:cs="David"/>
          <w:b/>
          <w:bCs/>
          <w:sz w:val="2"/>
          <w:szCs w:val="2"/>
          <w:rtl/>
        </w:rPr>
      </w:pPr>
    </w:p>
    <w:p w:rsidR="003667E2" w:rsidRPr="00FC669E" w:rsidRDefault="00FC669E" w:rsidP="007E2A93">
      <w:pPr>
        <w:pStyle w:val="a4"/>
        <w:spacing w:line="360" w:lineRule="auto"/>
        <w:jc w:val="both"/>
        <w:rPr>
          <w:rFonts w:ascii="David" w:hAnsi="David" w:cs="David"/>
          <w:b/>
          <w:bCs/>
          <w:sz w:val="24"/>
          <w:szCs w:val="24"/>
          <w:rtl/>
        </w:rPr>
      </w:pPr>
      <w:r>
        <w:rPr>
          <w:rFonts w:ascii="David" w:hAnsi="David" w:cs="David" w:hint="cs"/>
          <w:sz w:val="24"/>
          <w:szCs w:val="24"/>
          <w:rtl/>
        </w:rPr>
        <w:t xml:space="preserve">בנוגע לעבירה שעניינה </w:t>
      </w:r>
      <w:r w:rsidR="00B51EAD" w:rsidRPr="00FC669E">
        <w:rPr>
          <w:rFonts w:ascii="David" w:hAnsi="David" w:cs="David" w:hint="cs"/>
          <w:b/>
          <w:bCs/>
          <w:sz w:val="24"/>
          <w:szCs w:val="24"/>
          <w:rtl/>
        </w:rPr>
        <w:t>ניסיון הצתה</w:t>
      </w:r>
      <w:r w:rsidR="007E2A93">
        <w:rPr>
          <w:rFonts w:ascii="David" w:hAnsi="David" w:cs="David" w:hint="cs"/>
          <w:b/>
          <w:bCs/>
          <w:sz w:val="24"/>
          <w:szCs w:val="24"/>
          <w:rtl/>
        </w:rPr>
        <w:t>:</w:t>
      </w:r>
      <w:r>
        <w:rPr>
          <w:rFonts w:ascii="David" w:hAnsi="David" w:cs="David" w:hint="cs"/>
          <w:b/>
          <w:bCs/>
          <w:sz w:val="24"/>
          <w:szCs w:val="24"/>
          <w:rtl/>
        </w:rPr>
        <w:t xml:space="preserve"> </w:t>
      </w:r>
    </w:p>
    <w:p w:rsidR="00432641" w:rsidRPr="00FC669E" w:rsidRDefault="00B51EAD" w:rsidP="007E2A93">
      <w:pPr>
        <w:spacing w:line="360" w:lineRule="auto"/>
        <w:ind w:left="720"/>
        <w:jc w:val="both"/>
        <w:rPr>
          <w:rFonts w:ascii="David" w:hAnsi="David" w:cs="David"/>
          <w:sz w:val="24"/>
          <w:szCs w:val="24"/>
          <w:rtl/>
        </w:rPr>
      </w:pPr>
      <w:r w:rsidRPr="00FC669E">
        <w:rPr>
          <w:rFonts w:ascii="David" w:hAnsi="David" w:cs="David"/>
          <w:sz w:val="24"/>
          <w:szCs w:val="24"/>
          <w:rtl/>
        </w:rPr>
        <w:t xml:space="preserve">קיימת סתירה לוגית בטיעון ב"כ המבקשת: </w:t>
      </w:r>
      <w:r w:rsidRPr="00FC669E">
        <w:rPr>
          <w:rFonts w:ascii="David" w:hAnsi="David" w:cs="David"/>
          <w:b/>
          <w:bCs/>
          <w:sz w:val="24"/>
          <w:szCs w:val="24"/>
          <w:rtl/>
        </w:rPr>
        <w:t>הכיצד ניתן בו זמנית להתכוון להצית ולקוות שלא להצית?</w:t>
      </w:r>
      <w:r w:rsidRPr="00FC669E">
        <w:rPr>
          <w:rFonts w:ascii="David" w:hAnsi="David" w:cs="David"/>
          <w:sz w:val="24"/>
          <w:szCs w:val="24"/>
          <w:rtl/>
        </w:rPr>
        <w:t xml:space="preserve"> מכאן, שגם בקיום יסודות הניסיון לעבור עבירה של הצתה, קיימות אמנם ראיות לכאורה בעלות פוטנציאל להרשעת המשיבים בביצועה, ואולם ראיות אלו אינן בעוצמה חזקה. מסקנה זו מתחזקת מדברי המשיב 1 עצמו, שאמר בחקירתו מיום</w:t>
      </w:r>
    </w:p>
    <w:p w:rsidR="00191BEE" w:rsidRPr="007E2A93" w:rsidRDefault="00191BEE" w:rsidP="00191BEE">
      <w:pPr>
        <w:pStyle w:val="a4"/>
        <w:rPr>
          <w:sz w:val="2"/>
          <w:szCs w:val="2"/>
          <w:rtl/>
        </w:rPr>
      </w:pPr>
    </w:p>
    <w:p w:rsidR="00FC669E" w:rsidRDefault="00191BEE" w:rsidP="007E2A93">
      <w:pPr>
        <w:pStyle w:val="1"/>
        <w:numPr>
          <w:ilvl w:val="0"/>
          <w:numId w:val="0"/>
        </w:numPr>
        <w:tabs>
          <w:tab w:val="left" w:pos="720"/>
        </w:tabs>
        <w:ind w:left="720"/>
        <w:rPr>
          <w:b/>
          <w:bCs/>
          <w:sz w:val="24"/>
        </w:rPr>
      </w:pPr>
      <w:r>
        <w:rPr>
          <w:rFonts w:hint="cs"/>
          <w:b/>
          <w:bCs/>
          <w:rtl/>
        </w:rPr>
        <w:t xml:space="preserve">סוף דבר - </w:t>
      </w:r>
      <w:r w:rsidRPr="008C4819">
        <w:rPr>
          <w:rFonts w:hint="cs"/>
          <w:b/>
          <w:bCs/>
          <w:rtl/>
        </w:rPr>
        <w:t xml:space="preserve">עברם הנקי של המשיבים, לצד החולשה הראייתית, ולצד </w:t>
      </w:r>
      <w:r w:rsidRPr="008C4819">
        <w:rPr>
          <w:b/>
          <w:bCs/>
          <w:rtl/>
        </w:rPr>
        <w:t>שיתוף הפעולה המלא של</w:t>
      </w:r>
      <w:r w:rsidRPr="008C4819">
        <w:rPr>
          <w:rFonts w:hint="cs"/>
          <w:b/>
          <w:bCs/>
          <w:rtl/>
        </w:rPr>
        <w:t>הם</w:t>
      </w:r>
      <w:r w:rsidRPr="008C4819">
        <w:rPr>
          <w:b/>
          <w:bCs/>
          <w:rtl/>
        </w:rPr>
        <w:t xml:space="preserve"> בחקירתם, </w:t>
      </w:r>
      <w:r w:rsidRPr="008C4819">
        <w:rPr>
          <w:rFonts w:hint="cs"/>
          <w:b/>
          <w:bCs/>
          <w:rtl/>
        </w:rPr>
        <w:t xml:space="preserve">בצירוף </w:t>
      </w:r>
      <w:r w:rsidRPr="008C4819">
        <w:rPr>
          <w:b/>
          <w:bCs/>
          <w:rtl/>
        </w:rPr>
        <w:t>החרטה העמוקה שהביעו</w:t>
      </w:r>
      <w:r w:rsidRPr="008C4819">
        <w:rPr>
          <w:rFonts w:hint="cs"/>
          <w:b/>
          <w:bCs/>
          <w:rtl/>
        </w:rPr>
        <w:t xml:space="preserve"> </w:t>
      </w:r>
      <w:r w:rsidRPr="008C4819">
        <w:rPr>
          <w:b/>
          <w:bCs/>
          <w:rtl/>
        </w:rPr>
        <w:t>–</w:t>
      </w:r>
      <w:r w:rsidRPr="008C4819">
        <w:rPr>
          <w:rFonts w:hint="cs"/>
          <w:b/>
          <w:bCs/>
          <w:rtl/>
        </w:rPr>
        <w:t xml:space="preserve"> יש בהם כדי להפחית את מסוכנותם, ולסמוך עליהם כי יקיימו כל תנאי שייקבע ע"י בית המשפט</w:t>
      </w:r>
      <w:r w:rsidR="00FC669E">
        <w:rPr>
          <w:rFonts w:hint="cs"/>
          <w:b/>
          <w:bCs/>
          <w:rtl/>
        </w:rPr>
        <w:t>.</w:t>
      </w:r>
    </w:p>
    <w:p w:rsidR="00FC669E" w:rsidRDefault="00FC669E" w:rsidP="00FC669E">
      <w:pPr>
        <w:pStyle w:val="1"/>
        <w:numPr>
          <w:ilvl w:val="0"/>
          <w:numId w:val="0"/>
        </w:numPr>
        <w:tabs>
          <w:tab w:val="left" w:pos="720"/>
        </w:tabs>
        <w:ind w:left="720"/>
        <w:rPr>
          <w:sz w:val="24"/>
          <w:rtl/>
        </w:rPr>
      </w:pPr>
      <w:r>
        <w:rPr>
          <w:rFonts w:hint="cs"/>
          <w:b/>
          <w:bCs/>
          <w:sz w:val="24"/>
          <w:rtl/>
        </w:rPr>
        <w:t xml:space="preserve">כף המאזניים </w:t>
      </w:r>
      <w:r w:rsidRPr="008C4819">
        <w:rPr>
          <w:rFonts w:hint="cs"/>
          <w:sz w:val="24"/>
          <w:rtl/>
        </w:rPr>
        <w:t>-</w:t>
      </w:r>
      <w:r>
        <w:rPr>
          <w:rFonts w:hint="cs"/>
          <w:sz w:val="24"/>
          <w:rtl/>
        </w:rPr>
        <w:t xml:space="preserve"> </w:t>
      </w:r>
      <w:r w:rsidRPr="008C4819">
        <w:rPr>
          <w:rFonts w:hint="cs"/>
          <w:sz w:val="24"/>
          <w:rtl/>
        </w:rPr>
        <w:t xml:space="preserve">ככל </w:t>
      </w:r>
      <w:r>
        <w:rPr>
          <w:rFonts w:hint="cs"/>
          <w:sz w:val="24"/>
          <w:rtl/>
        </w:rPr>
        <w:t xml:space="preserve">שהכף המחזיקה את </w:t>
      </w:r>
      <w:r w:rsidRPr="008C4819">
        <w:rPr>
          <w:rFonts w:hint="cs"/>
          <w:sz w:val="24"/>
          <w:rtl/>
        </w:rPr>
        <w:t xml:space="preserve">עוצמת הראיות </w:t>
      </w:r>
      <w:r>
        <w:rPr>
          <w:rFonts w:hint="cs"/>
          <w:sz w:val="24"/>
          <w:rtl/>
        </w:rPr>
        <w:t xml:space="preserve">היא </w:t>
      </w:r>
      <w:r w:rsidRPr="008C4819">
        <w:rPr>
          <w:rFonts w:hint="cs"/>
          <w:sz w:val="24"/>
          <w:rtl/>
        </w:rPr>
        <w:t xml:space="preserve">חלשה יותר, כך </w:t>
      </w:r>
      <w:r>
        <w:rPr>
          <w:rFonts w:hint="cs"/>
          <w:sz w:val="24"/>
          <w:rtl/>
        </w:rPr>
        <w:t>עולה הכף המחזיקה את חלופת המעצר.</w:t>
      </w:r>
    </w:p>
    <w:p w:rsidR="00191BEE" w:rsidRPr="008C4819" w:rsidRDefault="00191BEE" w:rsidP="00FC669E">
      <w:pPr>
        <w:pStyle w:val="1"/>
        <w:numPr>
          <w:ilvl w:val="0"/>
          <w:numId w:val="0"/>
        </w:numPr>
        <w:tabs>
          <w:tab w:val="left" w:pos="720"/>
        </w:tabs>
        <w:ind w:left="720"/>
        <w:rPr>
          <w:b/>
          <w:bCs/>
          <w:sz w:val="24"/>
        </w:rPr>
      </w:pPr>
      <w:r w:rsidRPr="008C4819">
        <w:rPr>
          <w:rFonts w:hint="cs"/>
          <w:b/>
          <w:bCs/>
          <w:rtl/>
        </w:rPr>
        <w:t xml:space="preserve">על כן הנני מורה על העברת כל המשיבים, כבר בשלב זה, ובטרם אקבל את תסקירי שירות המבחן, למעצר </w:t>
      </w:r>
      <w:proofErr w:type="spellStart"/>
      <w:r w:rsidRPr="008C4819">
        <w:rPr>
          <w:rFonts w:hint="cs"/>
          <w:b/>
          <w:bCs/>
          <w:rtl/>
        </w:rPr>
        <w:t>באיזוק</w:t>
      </w:r>
      <w:proofErr w:type="spellEnd"/>
      <w:r w:rsidRPr="008C4819">
        <w:rPr>
          <w:rFonts w:hint="cs"/>
          <w:b/>
          <w:bCs/>
          <w:rtl/>
        </w:rPr>
        <w:t xml:space="preserve"> אלקטרוני, כל אחד בביתו, </w:t>
      </w:r>
      <w:r w:rsidRPr="008C4819">
        <w:rPr>
          <w:rFonts w:hint="cs"/>
          <w:b/>
          <w:bCs/>
          <w:sz w:val="24"/>
          <w:rtl/>
        </w:rPr>
        <w:t>כאשר תישמר זכותם של כל המשיבים להגיש בקשות נוספות, לאחר קבלת התסקירים, ובהתאם למה שיפורט בהם.</w:t>
      </w:r>
    </w:p>
    <w:p w:rsidR="007E2A93" w:rsidRDefault="007E2A93" w:rsidP="00191BEE">
      <w:pPr>
        <w:spacing w:line="360" w:lineRule="auto"/>
        <w:rPr>
          <w:rFonts w:ascii="David" w:hAnsi="David" w:cs="David"/>
          <w:b/>
          <w:bCs/>
          <w:sz w:val="24"/>
          <w:szCs w:val="24"/>
          <w:u w:val="single"/>
          <w:rtl/>
        </w:rPr>
      </w:pPr>
    </w:p>
    <w:p w:rsidR="00191BEE" w:rsidRPr="00FC669E" w:rsidRDefault="00191BEE" w:rsidP="00191BEE">
      <w:pPr>
        <w:spacing w:line="360" w:lineRule="auto"/>
        <w:rPr>
          <w:rFonts w:ascii="David" w:hAnsi="David" w:cs="David"/>
          <w:b/>
          <w:bCs/>
          <w:sz w:val="24"/>
          <w:szCs w:val="24"/>
          <w:u w:val="single"/>
          <w:rtl/>
        </w:rPr>
      </w:pPr>
      <w:r w:rsidRPr="00FC669E">
        <w:rPr>
          <w:rFonts w:ascii="David" w:hAnsi="David" w:cs="David"/>
          <w:b/>
          <w:bCs/>
          <w:sz w:val="24"/>
          <w:szCs w:val="24"/>
          <w:u w:val="single"/>
          <w:rtl/>
        </w:rPr>
        <w:t>ורגע לפני סיום</w:t>
      </w:r>
    </w:p>
    <w:p w:rsidR="006817AC" w:rsidRDefault="006817AC" w:rsidP="00021CE1">
      <w:pPr>
        <w:pStyle w:val="a4"/>
        <w:spacing w:after="200" w:line="360" w:lineRule="auto"/>
        <w:jc w:val="both"/>
        <w:rPr>
          <w:rFonts w:ascii="David" w:hAnsi="David" w:cs="David"/>
          <w:sz w:val="24"/>
          <w:szCs w:val="24"/>
        </w:rPr>
      </w:pPr>
      <w:r>
        <w:rPr>
          <w:rFonts w:ascii="David" w:hAnsi="David" w:cs="David" w:hint="cs"/>
          <w:sz w:val="24"/>
          <w:szCs w:val="24"/>
          <w:rtl/>
        </w:rPr>
        <w:t xml:space="preserve">מדינת ישראל היא מדינה חזקה ואיתנה, ואם ירי טילים בליסטיים לעברה, ע"י אויב, לא בנקל יכלו לגרום לממשלה לשנות את עמדתה, אז על אחת כמה וכמה, לא יוכלו לעשות זאת שני </w:t>
      </w:r>
      <w:r w:rsidR="00021CE1">
        <w:rPr>
          <w:rFonts w:ascii="David" w:hAnsi="David" w:cs="David" w:hint="cs"/>
          <w:sz w:val="24"/>
          <w:szCs w:val="24"/>
          <w:rtl/>
        </w:rPr>
        <w:t>זקוקים, שנורו לכיוון</w:t>
      </w:r>
      <w:r>
        <w:rPr>
          <w:rFonts w:ascii="David" w:hAnsi="David" w:cs="David" w:hint="cs"/>
          <w:sz w:val="24"/>
          <w:szCs w:val="24"/>
          <w:rtl/>
        </w:rPr>
        <w:t xml:space="preserve"> בית </w:t>
      </w:r>
      <w:r w:rsidR="00021CE1">
        <w:rPr>
          <w:rFonts w:ascii="David" w:hAnsi="David" w:cs="David" w:hint="cs"/>
          <w:sz w:val="24"/>
          <w:szCs w:val="24"/>
          <w:rtl/>
        </w:rPr>
        <w:t>ראש הממשלה</w:t>
      </w:r>
      <w:r>
        <w:rPr>
          <w:rFonts w:ascii="David" w:hAnsi="David" w:cs="David" w:hint="cs"/>
          <w:sz w:val="24"/>
          <w:szCs w:val="24"/>
          <w:rtl/>
        </w:rPr>
        <w:t xml:space="preserve">, וזאת מבלי להמעיט </w:t>
      </w:r>
      <w:bookmarkStart w:id="0" w:name="_GoBack"/>
      <w:r>
        <w:rPr>
          <w:rFonts w:ascii="David" w:hAnsi="David" w:cs="David" w:hint="cs"/>
          <w:sz w:val="24"/>
          <w:szCs w:val="24"/>
          <w:rtl/>
        </w:rPr>
        <w:t>מ</w:t>
      </w:r>
      <w:bookmarkEnd w:id="0"/>
      <w:r>
        <w:rPr>
          <w:rFonts w:ascii="David" w:hAnsi="David" w:cs="David" w:hint="cs"/>
          <w:sz w:val="24"/>
          <w:szCs w:val="24"/>
          <w:rtl/>
        </w:rPr>
        <w:t>חומרת המעשים שנעשו לכאורה ע"י המשיבים.</w:t>
      </w:r>
    </w:p>
    <w:p w:rsidR="006817AC" w:rsidRPr="00FE751E" w:rsidRDefault="006817AC" w:rsidP="006817AC">
      <w:pPr>
        <w:pStyle w:val="a4"/>
        <w:rPr>
          <w:rFonts w:ascii="David" w:hAnsi="David" w:cs="David"/>
          <w:sz w:val="24"/>
          <w:szCs w:val="24"/>
          <w:rtl/>
        </w:rPr>
      </w:pPr>
    </w:p>
    <w:p w:rsidR="006817AC" w:rsidRDefault="006817AC" w:rsidP="006817AC">
      <w:pPr>
        <w:pStyle w:val="a4"/>
        <w:spacing w:after="200" w:line="360" w:lineRule="auto"/>
        <w:jc w:val="both"/>
        <w:rPr>
          <w:rFonts w:ascii="David" w:hAnsi="David" w:cs="David"/>
          <w:sz w:val="24"/>
          <w:szCs w:val="24"/>
          <w:rtl/>
        </w:rPr>
      </w:pPr>
      <w:r>
        <w:rPr>
          <w:rFonts w:ascii="David" w:hAnsi="David" w:cs="David" w:hint="cs"/>
          <w:sz w:val="24"/>
          <w:szCs w:val="24"/>
          <w:rtl/>
        </w:rPr>
        <w:t xml:space="preserve">זכות ההפגנה, כמו גם זכות המחאה, היא יסוד מיסודותיה של מדינה דמוקרטית, אך אל לאלה שאינם מסכימים עם עמדה הצד האחר, לעבור את גבולות החוק, לעבר מקומות אפלים של ביצוע עבירות פליליות. דמוקרטיה אינה רק שיטת ממשל, אלא היא אורח חיים, המבוסס על כבוד הדדי, סובלנות והכרה בזכותו של כל אדם להחזיק בדעותיו. השוני בדעות ובאמונות אינו אמור להוות מכשול, אלא כלי להעשרת החברה, ושבאמצעותו ניתן להוביל לחשיבה מעמיקה יותר. </w:t>
      </w:r>
    </w:p>
    <w:p w:rsidR="006817AC" w:rsidRDefault="006817AC" w:rsidP="006817AC">
      <w:pPr>
        <w:pStyle w:val="a4"/>
        <w:spacing w:after="200" w:line="360" w:lineRule="auto"/>
        <w:jc w:val="both"/>
        <w:rPr>
          <w:rFonts w:ascii="David" w:hAnsi="David" w:cs="David"/>
          <w:sz w:val="24"/>
          <w:szCs w:val="24"/>
          <w:rtl/>
        </w:rPr>
      </w:pPr>
    </w:p>
    <w:p w:rsidR="006817AC" w:rsidRDefault="006817AC" w:rsidP="006817AC">
      <w:pPr>
        <w:pStyle w:val="a4"/>
        <w:spacing w:after="200" w:line="360" w:lineRule="auto"/>
        <w:jc w:val="both"/>
        <w:rPr>
          <w:rFonts w:ascii="David" w:hAnsi="David" w:cs="David"/>
          <w:sz w:val="24"/>
          <w:szCs w:val="24"/>
          <w:rtl/>
        </w:rPr>
      </w:pPr>
      <w:r>
        <w:rPr>
          <w:rFonts w:ascii="David" w:hAnsi="David" w:cs="David" w:hint="cs"/>
          <w:sz w:val="24"/>
          <w:szCs w:val="24"/>
          <w:rtl/>
        </w:rPr>
        <w:t xml:space="preserve">כל מחלוקת, גם החשובה ביותר, לעולם לא יכולה להצדיק פעולות הנוגדות את החוק, המחויבות של כל אחד לעמוד על עקרונותיו, ולשאוף לשנות מציאות, צריכה להיעשות בדרכים מכבדות, חוקיות ומוסריות, ורק כך יהא ניתן לשמור על המרקם החברתי, ועל הזנה וצמיחה הדדית, וכל דרך אחרת </w:t>
      </w:r>
      <w:r>
        <w:rPr>
          <w:rFonts w:ascii="David" w:hAnsi="David" w:cs="David"/>
          <w:sz w:val="24"/>
          <w:szCs w:val="24"/>
          <w:rtl/>
        </w:rPr>
        <w:t>–</w:t>
      </w:r>
      <w:r>
        <w:rPr>
          <w:rFonts w:ascii="David" w:hAnsi="David" w:cs="David" w:hint="cs"/>
          <w:sz w:val="24"/>
          <w:szCs w:val="24"/>
          <w:rtl/>
        </w:rPr>
        <w:t xml:space="preserve"> תוביל להרס, לפילוג ולחורבן.</w:t>
      </w:r>
    </w:p>
    <w:p w:rsidR="00191BEE" w:rsidRPr="00C770E3" w:rsidRDefault="00191BEE" w:rsidP="00191BEE">
      <w:pPr>
        <w:spacing w:line="360" w:lineRule="auto"/>
        <w:jc w:val="both"/>
        <w:rPr>
          <w:rFonts w:ascii="Arial" w:hAnsi="Arial"/>
          <w:rtl/>
        </w:rPr>
      </w:pPr>
    </w:p>
    <w:p w:rsidR="00191BEE" w:rsidRPr="00FC669E" w:rsidRDefault="00191BEE" w:rsidP="00191BEE">
      <w:pPr>
        <w:spacing w:line="360" w:lineRule="auto"/>
        <w:jc w:val="both"/>
        <w:rPr>
          <w:rFonts w:ascii="David" w:hAnsi="David" w:cs="David"/>
          <w:b/>
          <w:bCs/>
          <w:sz w:val="24"/>
          <w:szCs w:val="24"/>
          <w:rtl/>
        </w:rPr>
      </w:pPr>
      <w:r w:rsidRPr="00FC669E">
        <w:rPr>
          <w:rFonts w:ascii="David" w:hAnsi="David" w:cs="David"/>
          <w:b/>
          <w:bCs/>
          <w:sz w:val="24"/>
          <w:szCs w:val="24"/>
          <w:rtl/>
        </w:rPr>
        <w:t xml:space="preserve">ניתנה היום, </w:t>
      </w:r>
      <w:sdt>
        <w:sdtPr>
          <w:rPr>
            <w:rFonts w:ascii="David" w:hAnsi="David" w:cs="David"/>
            <w:b/>
            <w:bCs/>
            <w:sz w:val="24"/>
            <w:szCs w:val="24"/>
            <w:rtl/>
          </w:rPr>
          <w:alias w:val="1455"/>
          <w:tag w:val="1455"/>
          <w:id w:val="1666048407"/>
          <w:text w:multiLine="1"/>
        </w:sdtPr>
        <w:sdtEndPr/>
        <w:sdtContent>
          <w:r w:rsidRPr="00FC669E">
            <w:rPr>
              <w:rFonts w:ascii="David" w:hAnsi="David" w:cs="David"/>
              <w:b/>
              <w:bCs/>
              <w:sz w:val="24"/>
              <w:szCs w:val="24"/>
              <w:rtl/>
            </w:rPr>
            <w:t>כ"ה בכסלו תשפ"ה</w:t>
          </w:r>
        </w:sdtContent>
      </w:sdt>
      <w:r w:rsidRPr="00FC669E">
        <w:rPr>
          <w:rFonts w:ascii="David" w:hAnsi="David" w:cs="David"/>
          <w:b/>
          <w:bCs/>
          <w:sz w:val="24"/>
          <w:szCs w:val="24"/>
          <w:rtl/>
        </w:rPr>
        <w:t xml:space="preserve">, </w:t>
      </w:r>
      <w:sdt>
        <w:sdtPr>
          <w:rPr>
            <w:rFonts w:ascii="David" w:hAnsi="David" w:cs="David"/>
            <w:b/>
            <w:bCs/>
            <w:sz w:val="24"/>
            <w:szCs w:val="24"/>
            <w:rtl/>
          </w:rPr>
          <w:alias w:val="1456"/>
          <w:tag w:val="1456"/>
          <w:id w:val="-1186288958"/>
          <w:text w:multiLine="1"/>
        </w:sdtPr>
        <w:sdtEndPr/>
        <w:sdtContent>
          <w:r w:rsidRPr="00FC669E">
            <w:rPr>
              <w:rFonts w:ascii="David" w:hAnsi="David" w:cs="David"/>
              <w:b/>
              <w:bCs/>
              <w:sz w:val="24"/>
              <w:szCs w:val="24"/>
              <w:rtl/>
            </w:rPr>
            <w:t>26 בדצמבר 2024</w:t>
          </w:r>
        </w:sdtContent>
      </w:sdt>
      <w:r w:rsidRPr="00FC669E">
        <w:rPr>
          <w:rFonts w:ascii="David" w:hAnsi="David" w:cs="David"/>
          <w:b/>
          <w:bCs/>
          <w:sz w:val="24"/>
          <w:szCs w:val="24"/>
          <w:rtl/>
        </w:rPr>
        <w:t>, במעמד כל הצדדים.</w:t>
      </w:r>
    </w:p>
    <w:p w:rsidR="00432641" w:rsidRDefault="00432641" w:rsidP="006817AC">
      <w:pPr>
        <w:spacing w:line="240" w:lineRule="auto"/>
        <w:rPr>
          <w:rFonts w:ascii="David" w:hAnsi="David" w:cs="David"/>
          <w:sz w:val="24"/>
          <w:szCs w:val="24"/>
          <w:rtl/>
        </w:rPr>
      </w:pPr>
    </w:p>
    <w:p w:rsidR="006817AC" w:rsidRPr="006817AC" w:rsidRDefault="006817AC" w:rsidP="006817AC">
      <w:pPr>
        <w:spacing w:line="240" w:lineRule="auto"/>
        <w:rPr>
          <w:rFonts w:ascii="David" w:hAnsi="David" w:cs="David"/>
          <w:sz w:val="24"/>
          <w:szCs w:val="24"/>
        </w:rPr>
      </w:pPr>
    </w:p>
    <w:sectPr w:rsidR="006817AC" w:rsidRPr="006817AC" w:rsidSect="00D43EE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4131C"/>
    <w:multiLevelType w:val="hybridMultilevel"/>
    <w:tmpl w:val="0ADE65D4"/>
    <w:lvl w:ilvl="0" w:tplc="EAD23A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0B0AEC"/>
    <w:multiLevelType w:val="hybridMultilevel"/>
    <w:tmpl w:val="A9DCCFCC"/>
    <w:lvl w:ilvl="0" w:tplc="42AAF2C2">
      <w:start w:val="1"/>
      <w:numFmt w:val="hebrew1"/>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21C36"/>
    <w:multiLevelType w:val="hybridMultilevel"/>
    <w:tmpl w:val="0E485034"/>
    <w:lvl w:ilvl="0" w:tplc="55DA1E8A">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A668B4"/>
    <w:multiLevelType w:val="hybridMultilevel"/>
    <w:tmpl w:val="0ADE65D4"/>
    <w:lvl w:ilvl="0" w:tplc="EAD23A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3F925A2"/>
    <w:multiLevelType w:val="hybridMultilevel"/>
    <w:tmpl w:val="0ADE65D4"/>
    <w:lvl w:ilvl="0" w:tplc="EAD23AD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DC65DA3"/>
    <w:multiLevelType w:val="multilevel"/>
    <w:tmpl w:val="3E22F6CA"/>
    <w:lvl w:ilvl="0">
      <w:start w:val="1"/>
      <w:numFmt w:val="decimal"/>
      <w:pStyle w:val="1"/>
      <w:lvlText w:val="%1."/>
      <w:lvlJc w:val="left"/>
      <w:pPr>
        <w:tabs>
          <w:tab w:val="num" w:pos="567"/>
        </w:tabs>
        <w:ind w:left="567" w:hanging="567"/>
      </w:pPr>
      <w:rPr>
        <w:rFonts w:ascii="Times New Roman" w:hAnsi="Times New Roman" w:cs="David" w:hint="default"/>
        <w:bCs w:val="0"/>
        <w:iCs w:val="0"/>
        <w:caps w:val="0"/>
        <w:strike w:val="0"/>
        <w:dstrike w:val="0"/>
        <w:vanish w:val="0"/>
        <w:webHidden w:val="0"/>
        <w:color w:val="000000"/>
        <w:szCs w:val="24"/>
        <w:u w:val="none"/>
        <w:effect w:val="none"/>
        <w:vertAlign w:val="baseline"/>
        <w:lang w:val="en-US"/>
        <w:specVanish w:val="0"/>
      </w:rPr>
    </w:lvl>
    <w:lvl w:ilvl="1">
      <w:start w:val="1"/>
      <w:numFmt w:val="hebrew1"/>
      <w:lvlText w:val="%2."/>
      <w:lvlJc w:val="left"/>
      <w:pPr>
        <w:tabs>
          <w:tab w:val="num" w:pos="1134"/>
        </w:tabs>
        <w:ind w:left="1134"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2">
      <w:start w:val="1"/>
      <w:numFmt w:val="hebrew1"/>
      <w:lvlText w:val="(%3)"/>
      <w:lvlJc w:val="left"/>
      <w:pPr>
        <w:tabs>
          <w:tab w:val="num" w:pos="1701"/>
        </w:tabs>
        <w:ind w:left="1701" w:hanging="567"/>
      </w:pPr>
      <w:rPr>
        <w:rFonts w:ascii="Times New Roman" w:hAnsi="Times New Roman" w:cs="David" w:hint="default"/>
        <w:bCs w:val="0"/>
        <w:iCs w:val="0"/>
        <w:szCs w:val="24"/>
      </w:rPr>
    </w:lvl>
    <w:lvl w:ilvl="3">
      <w:start w:val="1"/>
      <w:numFmt w:val="decimal"/>
      <w:lvlText w:val="(%4)"/>
      <w:lvlJc w:val="left"/>
      <w:pPr>
        <w:tabs>
          <w:tab w:val="num" w:pos="2268"/>
        </w:tabs>
        <w:ind w:left="2268" w:hanging="567"/>
      </w:pPr>
      <w:rPr>
        <w:rFonts w:ascii="Times New Roman" w:hAnsi="Times New Roman" w:cs="David" w:hint="default"/>
        <w:bCs w:val="0"/>
        <w:iCs w:val="0"/>
        <w:caps w:val="0"/>
        <w:strike w:val="0"/>
        <w:dstrike w:val="0"/>
        <w:vanish w:val="0"/>
        <w:webHidden w:val="0"/>
        <w:color w:val="000000"/>
        <w:kern w:val="0"/>
        <w:sz w:val="2"/>
        <w:szCs w:val="24"/>
        <w:u w:val="none"/>
        <w:effect w:val="none"/>
        <w:vertAlign w:val="baseline"/>
        <w:specVanish w:val="0"/>
      </w:rPr>
    </w:lvl>
    <w:lvl w:ilvl="4">
      <w:start w:val="1"/>
      <w:numFmt w:val="decimal"/>
      <w:lvlText w:val="(%5)"/>
      <w:lvlJc w:val="center"/>
      <w:pPr>
        <w:tabs>
          <w:tab w:val="num" w:pos="3240"/>
        </w:tabs>
        <w:ind w:left="2880" w:firstLine="0"/>
      </w:pPr>
      <w:rPr>
        <w:rFonts w:cs="Times New Roman"/>
      </w:rPr>
    </w:lvl>
    <w:lvl w:ilvl="5">
      <w:start w:val="1"/>
      <w:numFmt w:val="cardinalText"/>
      <w:lvlText w:val="(%6)"/>
      <w:lvlJc w:val="center"/>
      <w:pPr>
        <w:tabs>
          <w:tab w:val="num" w:pos="3960"/>
        </w:tabs>
        <w:ind w:left="3600" w:firstLine="0"/>
      </w:pPr>
      <w:rPr>
        <w:rFonts w:cs="Times New Roman"/>
      </w:rPr>
    </w:lvl>
    <w:lvl w:ilvl="6">
      <w:start w:val="1"/>
      <w:numFmt w:val="lowerLetter"/>
      <w:lvlText w:val="(%7)"/>
      <w:lvlJc w:val="center"/>
      <w:pPr>
        <w:tabs>
          <w:tab w:val="num" w:pos="4680"/>
        </w:tabs>
        <w:ind w:left="4320" w:firstLine="0"/>
      </w:pPr>
      <w:rPr>
        <w:rFonts w:cs="Times New Roman"/>
      </w:rPr>
    </w:lvl>
    <w:lvl w:ilvl="7">
      <w:start w:val="1"/>
      <w:numFmt w:val="cardinalText"/>
      <w:lvlText w:val="(%8)"/>
      <w:lvlJc w:val="center"/>
      <w:pPr>
        <w:tabs>
          <w:tab w:val="num" w:pos="5400"/>
        </w:tabs>
        <w:ind w:left="5040" w:firstLine="0"/>
      </w:pPr>
      <w:rPr>
        <w:rFonts w:cs="Times New Roman"/>
      </w:rPr>
    </w:lvl>
    <w:lvl w:ilvl="8">
      <w:start w:val="1"/>
      <w:numFmt w:val="lowerLetter"/>
      <w:lvlText w:val="(%9)"/>
      <w:lvlJc w:val="center"/>
      <w:pPr>
        <w:tabs>
          <w:tab w:val="num" w:pos="6120"/>
        </w:tabs>
        <w:ind w:left="5760" w:firstLine="0"/>
      </w:pPr>
      <w:rPr>
        <w:rFonts w:cs="Times New Roman"/>
      </w:r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433"/>
    <w:rsid w:val="00021CE1"/>
    <w:rsid w:val="00171433"/>
    <w:rsid w:val="00191BEE"/>
    <w:rsid w:val="001D599A"/>
    <w:rsid w:val="003667E2"/>
    <w:rsid w:val="00426E85"/>
    <w:rsid w:val="00432641"/>
    <w:rsid w:val="00501A9D"/>
    <w:rsid w:val="006769BA"/>
    <w:rsid w:val="006817AC"/>
    <w:rsid w:val="007E2A93"/>
    <w:rsid w:val="00897B4A"/>
    <w:rsid w:val="009D0108"/>
    <w:rsid w:val="009F3D70"/>
    <w:rsid w:val="00AA62F4"/>
    <w:rsid w:val="00B51EAD"/>
    <w:rsid w:val="00D43EE2"/>
    <w:rsid w:val="00EB6950"/>
    <w:rsid w:val="00FC669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7D15"/>
  <w15:chartTrackingRefBased/>
  <w15:docId w15:val="{B64F6559-6DA6-4C4A-A88C-4361EED16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3D7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F3D70"/>
    <w:pPr>
      <w:spacing w:line="256" w:lineRule="auto"/>
      <w:ind w:left="720"/>
      <w:contextualSpacing/>
    </w:pPr>
  </w:style>
  <w:style w:type="paragraph" w:customStyle="1" w:styleId="1">
    <w:name w:val="היסט1"/>
    <w:basedOn w:val="a"/>
    <w:uiPriority w:val="99"/>
    <w:semiHidden/>
    <w:rsid w:val="006769BA"/>
    <w:pPr>
      <w:keepLines/>
      <w:numPr>
        <w:numId w:val="4"/>
      </w:numPr>
      <w:spacing w:before="120" w:after="120" w:line="360" w:lineRule="auto"/>
      <w:jc w:val="both"/>
    </w:pPr>
    <w:rPr>
      <w:rFonts w:ascii="Times New Roman" w:eastAsia="Times New Roman" w:hAnsi="Times New Roman" w:cs="David"/>
      <w:szCs w:val="24"/>
      <w:lang w:eastAsia="he-IL"/>
    </w:rPr>
  </w:style>
  <w:style w:type="character" w:customStyle="1" w:styleId="default">
    <w:name w:val="default"/>
    <w:rsid w:val="003667E2"/>
    <w:rPr>
      <w:rFonts w:ascii="Times New Roman" w:hAnsi="Times New Roman" w:cs="Times New Roman" w:hint="default"/>
      <w:sz w:val="26"/>
      <w:szCs w:val="26"/>
    </w:rPr>
  </w:style>
  <w:style w:type="paragraph" w:styleId="a5">
    <w:name w:val="Balloon Text"/>
    <w:basedOn w:val="a"/>
    <w:link w:val="a6"/>
    <w:uiPriority w:val="99"/>
    <w:semiHidden/>
    <w:unhideWhenUsed/>
    <w:rsid w:val="00EB6950"/>
    <w:pPr>
      <w:spacing w:after="0" w:line="240" w:lineRule="auto"/>
    </w:pPr>
    <w:rPr>
      <w:rFonts w:ascii="Tahoma" w:hAnsi="Tahoma" w:cs="Tahoma"/>
      <w:sz w:val="18"/>
      <w:szCs w:val="18"/>
    </w:rPr>
  </w:style>
  <w:style w:type="character" w:customStyle="1" w:styleId="a6">
    <w:name w:val="טקסט בלונים תו"/>
    <w:basedOn w:val="a0"/>
    <w:link w:val="a5"/>
    <w:uiPriority w:val="99"/>
    <w:semiHidden/>
    <w:rsid w:val="00EB6950"/>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898737">
      <w:bodyDiv w:val="1"/>
      <w:marLeft w:val="0"/>
      <w:marRight w:val="0"/>
      <w:marTop w:val="0"/>
      <w:marBottom w:val="0"/>
      <w:divBdr>
        <w:top w:val="none" w:sz="0" w:space="0" w:color="auto"/>
        <w:left w:val="none" w:sz="0" w:space="0" w:color="auto"/>
        <w:bottom w:val="none" w:sz="0" w:space="0" w:color="auto"/>
        <w:right w:val="none" w:sz="0" w:space="0" w:color="auto"/>
      </w:divBdr>
    </w:div>
    <w:div w:id="1554465794">
      <w:bodyDiv w:val="1"/>
      <w:marLeft w:val="0"/>
      <w:marRight w:val="0"/>
      <w:marTop w:val="0"/>
      <w:marBottom w:val="0"/>
      <w:divBdr>
        <w:top w:val="none" w:sz="0" w:space="0" w:color="auto"/>
        <w:left w:val="none" w:sz="0" w:space="0" w:color="auto"/>
        <w:bottom w:val="none" w:sz="0" w:space="0" w:color="auto"/>
        <w:right w:val="none" w:sz="0" w:space="0" w:color="auto"/>
      </w:divBdr>
    </w:div>
    <w:div w:id="1766997524">
      <w:bodyDiv w:val="1"/>
      <w:marLeft w:val="0"/>
      <w:marRight w:val="0"/>
      <w:marTop w:val="0"/>
      <w:marBottom w:val="0"/>
      <w:divBdr>
        <w:top w:val="none" w:sz="0" w:space="0" w:color="auto"/>
        <w:left w:val="none" w:sz="0" w:space="0" w:color="auto"/>
        <w:bottom w:val="none" w:sz="0" w:space="0" w:color="auto"/>
        <w:right w:val="none" w:sz="0" w:space="0" w:color="auto"/>
      </w:divBdr>
    </w:div>
    <w:div w:id="1839732945">
      <w:bodyDiv w:val="1"/>
      <w:marLeft w:val="0"/>
      <w:marRight w:val="0"/>
      <w:marTop w:val="0"/>
      <w:marBottom w:val="0"/>
      <w:divBdr>
        <w:top w:val="none" w:sz="0" w:space="0" w:color="auto"/>
        <w:left w:val="none" w:sz="0" w:space="0" w:color="auto"/>
        <w:bottom w:val="none" w:sz="0" w:space="0" w:color="auto"/>
        <w:right w:val="none" w:sz="0" w:space="0" w:color="auto"/>
      </w:divBdr>
    </w:div>
    <w:div w:id="186732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19E7262095548ED8ED858B904FD6BBF"/>
        <w:category>
          <w:name w:val="כללי"/>
          <w:gallery w:val="placeholder"/>
        </w:category>
        <w:types>
          <w:type w:val="bbPlcHdr"/>
        </w:types>
        <w:behaviors>
          <w:behavior w:val="content"/>
        </w:behaviors>
        <w:guid w:val="{9E316964-25A3-4A37-B298-550E5D9572CF}"/>
      </w:docPartPr>
      <w:docPartBody>
        <w:p w:rsidR="00390B0A" w:rsidRDefault="00013B5A" w:rsidP="00013B5A">
          <w:pPr>
            <w:pStyle w:val="F19E7262095548ED8ED858B904FD6BBF"/>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5CC5EDD970A540D0BB573A1DA33BB428"/>
        <w:category>
          <w:name w:val="כללי"/>
          <w:gallery w:val="placeholder"/>
        </w:category>
        <w:types>
          <w:type w:val="bbPlcHdr"/>
        </w:types>
        <w:behaviors>
          <w:behavior w:val="content"/>
        </w:behaviors>
        <w:guid w:val="{165225AE-7FB0-4A7F-AC28-EC5A02CC8DE7}"/>
      </w:docPartPr>
      <w:docPartBody>
        <w:p w:rsidR="00390B0A" w:rsidRDefault="00013B5A" w:rsidP="00013B5A">
          <w:pPr>
            <w:pStyle w:val="5CC5EDD970A540D0BB573A1DA33BB428"/>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B5A"/>
    <w:rsid w:val="00013B5A"/>
    <w:rsid w:val="00390B0A"/>
    <w:rsid w:val="00BF2B10"/>
    <w:rsid w:val="00DC787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19E7262095548ED8ED858B904FD6BBF">
    <w:name w:val="F19E7262095548ED8ED858B904FD6BBF"/>
    <w:rsid w:val="00013B5A"/>
    <w:pPr>
      <w:bidi/>
    </w:pPr>
  </w:style>
  <w:style w:type="paragraph" w:customStyle="1" w:styleId="5CC5EDD970A540D0BB573A1DA33BB428">
    <w:name w:val="5CC5EDD970A540D0BB573A1DA33BB428"/>
    <w:rsid w:val="00013B5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783</Words>
  <Characters>3917</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זאיד פלאח</dc:creator>
  <cp:keywords/>
  <dc:description/>
  <cp:lastModifiedBy>גרמאו מנגיסטו</cp:lastModifiedBy>
  <cp:revision>3</cp:revision>
  <cp:lastPrinted>2024-12-26T10:39:00Z</cp:lastPrinted>
  <dcterms:created xsi:type="dcterms:W3CDTF">2024-12-26T11:21:00Z</dcterms:created>
  <dcterms:modified xsi:type="dcterms:W3CDTF">2024-12-26T11:40:00Z</dcterms:modified>
</cp:coreProperties>
</file>